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Prohlášení o přístupnosti</w:t>
      </w:r>
    </w:p>
    <w:p>
      <w:pPr>
        <w:spacing w:after="140"/>
      </w:pPr>
      <w:r>
        <w:t xml:space="preserve">Naposledy aktualizováno </w:t>
      </w:r>
      <w:r>
        <w:rPr>
          <w:highlight w:val="yellow"/>
          <w:highlightCs w:val="yellow"/>
        </w:rPr>
        <w:t xml:space="preserve">datum poslední revize</w:t>
      </w:r>
      <w:r>
        <w:t xml:space="preserve"> · Stav souladu: </w:t>
      </w:r>
      <w:r>
        <w:t xml:space="preserve">Částečně souladné</w:t>
      </w:r>
    </w:p>
    <w:p>
      <w:pPr>
        <w:pStyle w:val="Heading1"/>
        <w:spacing w:after="120" w:before="320"/>
      </w:pPr>
      <w:r>
        <w:t xml:space="preserve">Kdo prohlášení vydává</w:t>
      </w:r>
    </w:p>
    <w:p>
      <w:pPr>
        <w:spacing w:after="140"/>
      </w:pPr>
      <w:r>
        <w:rPr>
          <w:highlight w:val="yellow"/>
          <w:highlightCs w:val="yellow"/>
        </w:rPr>
        <w:t xml:space="preserve">Obchodní firma, sídlo, IČ</w:t>
      </w:r>
      <w:r>
        <w:t xml:space="preserve"> jako provozovatel webu </w:t>
      </w:r>
      <w:r>
        <w:rPr>
          <w:highlight w:val="yellow"/>
          <w:highlightCs w:val="yellow"/>
        </w:rPr>
        <w:t xml:space="preserve">adresa webu</w:t>
      </w:r>
      <w:r>
        <w:t xml:space="preserve"> vydává toto prohlášení podle § 14 zákona č. 424/2023 Sb., o požadavcích na přístupnost některých výrobků a služeb.</w:t>
      </w:r>
    </w:p>
    <w:p>
      <w:pPr>
        <w:spacing w:after="140"/>
      </w:pPr>
      <w:r>
        <w:t xml:space="preserve">Prohlášení se vztahuje na tyto prezentace: </w:t>
      </w:r>
      <w:r>
        <w:rPr>
          <w:highlight w:val="yellow"/>
          <w:highlightCs w:val="yellow"/>
        </w:rPr>
        <w:t xml:space="preserve">výčet domén a jazykových verzí</w:t>
      </w:r>
      <w:r>
        <w:t xml:space="preserve">.</w:t>
      </w:r>
    </w:p>
    <w:p>
      <w:pPr>
        <w:pStyle w:val="Heading1"/>
        <w:spacing w:after="120" w:before="320"/>
      </w:pPr>
      <w:r>
        <w:t xml:space="preserve">Čeho se služba týká a jak funguje</w:t>
      </w:r>
    </w:p>
    <w:p>
      <w:pPr>
        <w:spacing w:after="140"/>
      </w:pPr>
      <w:r>
        <w:t xml:space="preserve">Prostřednictvím webu nabízíme spotřebitelům </w:t>
      </w:r>
      <w:r>
        <w:rPr>
          <w:highlight w:val="yellow"/>
          <w:highlightCs w:val="yellow"/>
        </w:rPr>
        <w:t xml:space="preserve">stručný popis sortimentu</w:t>
      </w:r>
      <w:r>
        <w:t xml:space="preserve">. Zákazník si zboží vyhledá v katalogu nebo pomocí vyhledávání, otevře detail produktu, vloží zboží do košíku a v pokladně zvolí způsob dopravy a platby. Objednávku dokončí odesláním formuláře; potvrzení obdrží e‑mailem. Nákup je možný s registrací i bez ní.</w:t>
      </w:r>
    </w:p>
    <w:p>
      <w:pPr>
        <w:spacing w:after="140"/>
      </w:pPr>
      <w:r>
        <w:t xml:space="preserve">Doplňkové funkce: </w:t>
      </w:r>
      <w:r>
        <w:rPr>
          <w:highlight w:val="yellow"/>
          <w:highlightCs w:val="yellow"/>
        </w:rPr>
        <w:t xml:space="preserve">zákaznický účet, sledování objednávky, reklamace, hlídací pes a podobně</w:t>
      </w:r>
      <w:r>
        <w:t xml:space="preserve">.</w:t>
      </w:r>
    </w:p>
    <w:p>
      <w:pPr>
        <w:pStyle w:val="Heading1"/>
        <w:spacing w:after="120" w:before="320"/>
      </w:pPr>
      <w:r>
        <w:t xml:space="preserve">Norma, ke které se hlásíme</w:t>
      </w:r>
    </w:p>
    <w:p>
      <w:pPr>
        <w:spacing w:after="140"/>
      </w:pPr>
      <w:r>
        <w:t xml:space="preserve">Přístupnost posuzujeme podle harmonizované normy </w:t>
      </w:r>
      <w:r>
        <w:rPr>
          <w:b/>
          <w:bCs/>
        </w:rPr>
        <w:t xml:space="preserve">EN 301 549</w:t>
      </w:r>
      <w:r>
        <w:t xml:space="preserve">, která odkazuje na pravidla </w:t>
      </w:r>
      <w:r>
        <w:rPr>
          <w:b/>
          <w:bCs/>
        </w:rPr>
        <w:t xml:space="preserve">WCAG 2.1 na úrovni AA</w:t>
      </w:r>
      <w:r>
        <w:t xml:space="preserve">. Cílíme na úroveň WCAG 2.2 AA, protože norma se na tuto verzi aktualizuje.</w:t>
      </w:r>
    </w:p>
    <w:p>
      <w:pPr>
        <w:pStyle w:val="Heading1"/>
        <w:spacing w:after="120" w:before="320"/>
      </w:pPr>
      <w:r>
        <w:t xml:space="preserve">Stav souladu podle jednotlivých požadavků</w:t>
      </w:r>
    </w:p>
    <w:p>
      <w:pPr>
        <w:spacing w:after="140"/>
      </w:pPr>
      <w:r>
        <w:t xml:space="preserve">Požadavky vycházejí z přílohy č. 1 zákona, oddílu III (obecné požadavky na služby) a oddílu IV bodu 7 (služby elektronického obchodování).</w:t>
      </w:r>
    </w:p>
    <w:p>
      <w:pPr>
        <w:spacing w:after="80" w:before="120"/>
      </w:pPr>
      <w:r>
        <w:rPr>
          <w:b/>
          <w:bCs/>
        </w:rPr>
        <w:t xml:space="preserve">Jak web plní jednotlivé požadavky na přístupnost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shd w:fill="F4F6F9"/>
          </w:tcPr>
          <w:p>
            <w:r>
              <w:rPr>
                <w:b/>
                <w:bCs/>
              </w:rPr>
              <w:t xml:space="preserve">Požadavek</w:t>
            </w:r>
          </w:p>
        </w:tc>
        <w:tc>
          <w:tcPr>
            <w:shd w:fill="F4F6F9"/>
          </w:tcPr>
          <w:p>
            <w:r>
              <w:rPr>
                <w:b/>
                <w:bCs/>
              </w:rPr>
              <w:t xml:space="preserve">Jak jej plníme</w:t>
            </w:r>
          </w:p>
        </w:tc>
        <w:tc>
          <w:tcPr>
            <w:shd w:fill="F4F6F9"/>
          </w:tcPr>
          <w:p>
            <w:r>
              <w:rPr>
                <w:b/>
                <w:bCs/>
              </w:rPr>
              <w:t xml:space="preserve">Stav</w:t>
            </w:r>
          </w:p>
        </w:tc>
      </w:tr>
      <w:tr>
        <w:tc>
          <w:p>
            <w:r>
              <w:rPr>
                <w:b/>
                <w:bCs/>
              </w:rPr>
              <w:t xml:space="preserve">Oddíl III bod 1 - přístupnost použitých výrobků</w:t>
            </w:r>
          </w:p>
        </w:tc>
        <w:tc>
          <w:p>
            <w:r>
              <w:rPr>
                <w:b w:val="false"/>
                <w:bCs w:val="false"/>
                <w:highlight w:val="yellow"/>
                <w:highlightCs w:val="yellow"/>
              </w:rPr>
              <w:t xml:space="preserve">popis, nebo konstatování, že při poskytování služby se výrobky podle zákona nepoužívají</w:t>
            </w:r>
          </w:p>
        </w:tc>
        <w:tc>
          <w:p>
            <w:r>
              <w:rPr>
                <w:b w:val="false"/>
                <w:bCs w:val="false"/>
                <w:highlight w:val="yellow"/>
                <w:highlightCs w:val="yellow"/>
              </w:rPr>
              <w:t xml:space="preserve">stav</w:t>
            </w:r>
          </w:p>
        </w:tc>
      </w:tr>
      <w:tr>
        <w:tc>
          <w:p>
            <w:r>
              <w:rPr>
                <w:b/>
                <w:bCs/>
              </w:rPr>
              <w:t xml:space="preserve">Oddíl III bod 2 - informace o fungování služby</w:t>
            </w:r>
          </w:p>
        </w:tc>
        <w:tc>
          <w:p>
            <w:r>
              <w:rPr>
                <w:b w:val="false"/>
                <w:bCs w:val="false"/>
              </w:rPr>
              <w:t xml:space="preserve">Informace o nákupu, dopravě, platbě a reklamaci jsou dostupné jako text, který lze zvětšit, přeložit i přečíst čtečkou. </w:t>
            </w:r>
            <w:r>
              <w:rPr>
                <w:b w:val="false"/>
                <w:bCs w:val="false"/>
                <w:highlight w:val="yellow"/>
                <w:highlightCs w:val="yellow"/>
              </w:rPr>
              <w:t xml:space="preserve">doplnit zjištěné odchylky</w:t>
            </w:r>
          </w:p>
        </w:tc>
        <w:tc>
          <w:p>
            <w:r>
              <w:rPr>
                <w:b w:val="false"/>
                <w:bCs w:val="false"/>
                <w:highlight w:val="yellow"/>
                <w:highlightCs w:val="yellow"/>
              </w:rPr>
              <w:t xml:space="preserve">stav</w:t>
            </w:r>
          </w:p>
        </w:tc>
      </w:tr>
      <w:tr>
        <w:tc>
          <w:p>
            <w:r>
              <w:rPr>
                <w:b/>
                <w:bCs/>
              </w:rPr>
              <w:t xml:space="preserve">Oddíl III bod 3 - vnímatelnost, ovladatelnost, srozumitelnost a stabilita webu</w:t>
            </w:r>
          </w:p>
        </w:tc>
        <w:tc>
          <w:p>
            <w:r>
              <w:rPr>
                <w:b w:val="false"/>
                <w:bCs w:val="false"/>
              </w:rPr>
              <w:t xml:space="preserve">Web a mobilní zobrazení posuzujeme podle WCAG 2.1 AA. </w:t>
            </w:r>
            <w:r>
              <w:rPr>
                <w:b w:val="false"/>
                <w:bCs w:val="false"/>
                <w:highlight w:val="yellow"/>
                <w:highlightCs w:val="yellow"/>
              </w:rPr>
              <w:t xml:space="preserve">shrnout výsledek posouzení</w:t>
            </w:r>
          </w:p>
        </w:tc>
        <w:tc>
          <w:p>
            <w:r>
              <w:rPr>
                <w:b w:val="false"/>
                <w:bCs w:val="false"/>
                <w:highlight w:val="yellow"/>
                <w:highlightCs w:val="yellow"/>
              </w:rPr>
              <w:t xml:space="preserve">stav</w:t>
            </w:r>
          </w:p>
        </w:tc>
      </w:tr>
      <w:tr>
        <w:tc>
          <w:p>
            <w:r>
              <w:rPr>
                <w:b/>
                <w:bCs/>
              </w:rPr>
              <w:t xml:space="preserve">Oddíl III bod 4 - služby podpory</w:t>
            </w:r>
          </w:p>
        </w:tc>
        <w:tc>
          <w:p>
            <w:r>
              <w:rPr>
                <w:b w:val="false"/>
                <w:bCs w:val="false"/>
              </w:rPr>
              <w:t xml:space="preserve">Zákaznická linka a e‑mailová podpora podávají informace o přístupnosti služby a o kompatibilitě s podpůrnými technologiemi. </w:t>
            </w:r>
            <w:r>
              <w:rPr>
                <w:b w:val="false"/>
                <w:bCs w:val="false"/>
                <w:highlight w:val="yellow"/>
                <w:highlightCs w:val="yellow"/>
              </w:rPr>
              <w:t xml:space="preserve">doplnit kanály podpory</w:t>
            </w:r>
          </w:p>
        </w:tc>
        <w:tc>
          <w:p>
            <w:r>
              <w:rPr>
                <w:b w:val="false"/>
                <w:bCs w:val="false"/>
                <w:highlight w:val="yellow"/>
                <w:highlightCs w:val="yellow"/>
              </w:rPr>
              <w:t xml:space="preserve">stav</w:t>
            </w:r>
          </w:p>
        </w:tc>
      </w:tr>
      <w:tr>
        <w:tc>
          <w:p>
            <w:r>
              <w:rPr>
                <w:b/>
                <w:bCs/>
              </w:rPr>
              <w:t xml:space="preserve">Oddíl IV bod 7.1 - informace o přístupnosti prodávaného zboží</w:t>
            </w:r>
          </w:p>
        </w:tc>
        <w:tc>
          <w:p>
            <w:r>
              <w:rPr>
                <w:b w:val="false"/>
                <w:bCs w:val="false"/>
                <w:highlight w:val="yellow"/>
                <w:highlightCs w:val="yellow"/>
              </w:rPr>
              <w:t xml:space="preserve">Pokud výrobci takové informace poskytují, uvést, kde je zákazník na webu najde. Pokud je neposkytují, uvést to.</w:t>
            </w:r>
          </w:p>
        </w:tc>
        <w:tc>
          <w:p>
            <w:r>
              <w:rPr>
                <w:b w:val="false"/>
                <w:bCs w:val="false"/>
                <w:highlight w:val="yellow"/>
                <w:highlightCs w:val="yellow"/>
              </w:rPr>
              <w:t xml:space="preserve">stav</w:t>
            </w:r>
          </w:p>
        </w:tc>
      </w:tr>
      <w:tr>
        <w:tc>
          <w:p>
            <w:r>
              <w:rPr>
                <w:b/>
                <w:bCs/>
              </w:rPr>
              <w:t xml:space="preserve">Oddíl IV bod 7.2 - identifikace, zabezpečení a platba</w:t>
            </w:r>
          </w:p>
        </w:tc>
        <w:tc>
          <w:p>
            <w:r>
              <w:rPr>
                <w:b w:val="false"/>
                <w:bCs w:val="false"/>
                <w:highlight w:val="yellow"/>
                <w:highlightCs w:val="yellow"/>
              </w:rPr>
              <w:t xml:space="preserve">popis, jak jsou tyto funkce vnímatelné, ovladatelné, srozumitelné a stabilní</w:t>
            </w:r>
          </w:p>
        </w:tc>
        <w:tc>
          <w:p>
            <w:r>
              <w:rPr>
                <w:b w:val="false"/>
                <w:bCs w:val="false"/>
                <w:highlight w:val="yellow"/>
                <w:highlightCs w:val="yellow"/>
              </w:rPr>
              <w:t xml:space="preserve">stav</w:t>
            </w:r>
          </w:p>
        </w:tc>
      </w:tr>
      <w:tr>
        <w:tc>
          <w:p>
            <w:r>
              <w:rPr>
                <w:b/>
                <w:bCs/>
              </w:rPr>
              <w:t xml:space="preserve">Oddíl IV bod 7.3 - metody identifikace, elektronických podpisů a platebních služeb</w:t>
            </w:r>
          </w:p>
        </w:tc>
        <w:tc>
          <w:p>
            <w:r>
              <w:rPr>
                <w:b w:val="false"/>
                <w:bCs w:val="false"/>
                <w:highlight w:val="yellow"/>
                <w:highlightCs w:val="yellow"/>
              </w:rPr>
              <w:t xml:space="preserve">popis, včetně případných služeb třetích stran - platební brána, bankovní identita</w:t>
            </w:r>
          </w:p>
        </w:tc>
        <w:tc>
          <w:p>
            <w:r>
              <w:rPr>
                <w:b w:val="false"/>
                <w:bCs w:val="false"/>
                <w:highlight w:val="yellow"/>
                <w:highlightCs w:val="yellow"/>
              </w:rPr>
              <w:t xml:space="preserve">stav</w:t>
            </w:r>
          </w:p>
        </w:tc>
      </w:tr>
    </w:tbl>
    <w:p/>
    <w:p>
      <w:pPr>
        <w:pStyle w:val="Heading1"/>
        <w:spacing w:after="120" w:before="320"/>
      </w:pPr>
      <w:r>
        <w:t xml:space="preserve">Známá omezení a plán nápravy</w:t>
      </w:r>
    </w:p>
    <w:p>
      <w:pPr>
        <w:spacing w:after="140"/>
      </w:pPr>
      <w:r>
        <w:t xml:space="preserve">Při posouzení ze dne </w:t>
      </w:r>
      <w:r>
        <w:rPr>
          <w:highlight w:val="yellow"/>
          <w:highlightCs w:val="yellow"/>
        </w:rPr>
        <w:t xml:space="preserve">datum</w:t>
      </w:r>
      <w:r>
        <w:t xml:space="preserve"> jsme zjistili tyto nedostatky:</w:t>
      </w:r>
    </w:p>
    <w:p>
      <w:pPr>
        <w:spacing w:after="80" w:before="120"/>
      </w:pPr>
      <w:r>
        <w:rPr>
          <w:b/>
          <w:bCs/>
        </w:rPr>
        <w:t xml:space="preserve">Zjištěné nedostatky a termíny odstranění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shd w:fill="F4F6F9"/>
          </w:tcPr>
          <w:p>
            <w:r>
              <w:rPr>
                <w:b/>
                <w:bCs/>
              </w:rPr>
              <w:t xml:space="preserve">Nedostatek</w:t>
            </w:r>
          </w:p>
        </w:tc>
        <w:tc>
          <w:tcPr>
            <w:shd w:fill="F4F6F9"/>
          </w:tcPr>
          <w:p>
            <w:r>
              <w:rPr>
                <w:b/>
                <w:bCs/>
              </w:rPr>
              <w:t xml:space="preserve">Koho se dotýká</w:t>
            </w:r>
          </w:p>
        </w:tc>
        <w:tc>
          <w:tcPr>
            <w:shd w:fill="F4F6F9"/>
          </w:tcPr>
          <w:p>
            <w:r>
              <w:rPr>
                <w:b/>
                <w:bCs/>
              </w:rPr>
              <w:t xml:space="preserve">Termín odstranění</w:t>
            </w:r>
          </w:p>
        </w:tc>
      </w:tr>
      <w:tr>
        <w:tc>
          <w:p>
            <w:r>
              <w:rPr>
                <w:b w:val="false"/>
                <w:bCs w:val="false"/>
                <w:highlight w:val="yellow"/>
                <w:highlightCs w:val="yellow"/>
              </w:rPr>
              <w:t xml:space="preserve">konkrétní nález, například: části katalogu nelze ovládat pouze klávesnicí</w:t>
            </w:r>
          </w:p>
        </w:tc>
        <w:tc>
          <w:p>
            <w:r>
              <w:rPr>
                <w:b w:val="false"/>
                <w:bCs w:val="false"/>
                <w:highlight w:val="yellow"/>
                <w:highlightCs w:val="yellow"/>
              </w:rPr>
              <w:t xml:space="preserve">dopad</w:t>
            </w:r>
          </w:p>
        </w:tc>
        <w:tc>
          <w:p>
            <w:r>
              <w:rPr>
                <w:b w:val="false"/>
                <w:bCs w:val="false"/>
                <w:highlight w:val="yellow"/>
                <w:highlightCs w:val="yellow"/>
              </w:rPr>
              <w:t xml:space="preserve">termín</w:t>
            </w:r>
          </w:p>
        </w:tc>
      </w:tr>
      <w:tr>
        <w:tc>
          <w:p>
            <w:r>
              <w:rPr>
                <w:b w:val="false"/>
                <w:bCs w:val="false"/>
                <w:highlight w:val="yellow"/>
                <w:highlightCs w:val="yellow"/>
              </w:rPr>
              <w:t xml:space="preserve">konkrétní nález</w:t>
            </w:r>
          </w:p>
        </w:tc>
        <w:tc>
          <w:p>
            <w:r>
              <w:rPr>
                <w:b w:val="false"/>
                <w:bCs w:val="false"/>
                <w:highlight w:val="yellow"/>
                <w:highlightCs w:val="yellow"/>
              </w:rPr>
              <w:t xml:space="preserve">dopad</w:t>
            </w:r>
          </w:p>
        </w:tc>
        <w:tc>
          <w:p>
            <w:r>
              <w:rPr>
                <w:b w:val="false"/>
                <w:bCs w:val="false"/>
                <w:highlight w:val="yellow"/>
                <w:highlightCs w:val="yellow"/>
              </w:rPr>
              <w:t xml:space="preserve">termín</w:t>
            </w:r>
          </w:p>
        </w:tc>
      </w:tr>
    </w:tbl>
    <w:p/>
    <w:p>
      <w:pPr>
        <w:spacing w:after="140"/>
      </w:pPr>
      <w:r>
        <w:t xml:space="preserve">Na odstranění nedostatků pracujeme podle plánu uvedeného výše. Prohlášení aktualizujeme vždy, když se stav změní.</w:t>
      </w:r>
    </w:p>
    <w:p>
      <w:pPr>
        <w:pStyle w:val="Heading1"/>
        <w:spacing w:after="120" w:before="320"/>
      </w:pPr>
      <w:r>
        <w:t xml:space="preserve">Jak nám nahlásit bariéru</w:t>
      </w:r>
    </w:p>
    <w:p>
      <w:pPr>
        <w:spacing w:after="140"/>
      </w:pPr>
      <w:r>
        <w:t xml:space="preserve">Narazili jste na webu na něco, co vám znemožnilo nebo znesnadnilo nákup? Napište nám: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E‑mail: </w:t>
      </w:r>
      <w:r>
        <w:rPr>
          <w:highlight w:val="yellow"/>
          <w:highlightCs w:val="yellow"/>
        </w:rPr>
        <w:t xml:space="preserve">e‑mailová adresa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Telefon: </w:t>
      </w:r>
      <w:r>
        <w:rPr>
          <w:highlight w:val="yellow"/>
          <w:highlightCs w:val="yellow"/>
        </w:rPr>
        <w:t xml:space="preserve">telefonní číslo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Poštovní adresa: </w:t>
      </w:r>
      <w:r>
        <w:rPr>
          <w:highlight w:val="yellow"/>
          <w:highlightCs w:val="yellow"/>
        </w:rPr>
        <w:t xml:space="preserve">adresa</w:t>
      </w:r>
    </w:p>
    <w:p>
      <w:pPr>
        <w:spacing w:after="140"/>
      </w:pPr>
      <w:r>
        <w:t xml:space="preserve">Odpovíme do </w:t>
      </w:r>
      <w:r>
        <w:rPr>
          <w:highlight w:val="yellow"/>
          <w:highlightCs w:val="yellow"/>
        </w:rPr>
        <w:t xml:space="preserve">lhůta</w:t>
      </w:r>
      <w:r>
        <w:t xml:space="preserve"> pracovních dnů. Uveďte prosím, na které stránce k problému došlo a jaké zařízení nebo asistivní technologii používáte - pomůže nám to bariéru najít.</w:t>
      </w:r>
    </w:p>
    <w:p>
      <w:pPr>
        <w:pStyle w:val="Heading1"/>
        <w:spacing w:after="120" w:before="320"/>
      </w:pPr>
      <w:r>
        <w:t xml:space="preserve">Informace ve zvukové formě</w:t>
      </w:r>
    </w:p>
    <w:p>
      <w:pPr>
        <w:spacing w:after="140"/>
      </w:pPr>
      <w:r>
        <w:t xml:space="preserve">Obsah tohoto prohlášení vám na požádání poskytneme i ve zvukové formě. Napište si o něj na </w:t>
      </w:r>
      <w:r>
        <w:rPr>
          <w:highlight w:val="yellow"/>
          <w:highlightCs w:val="yellow"/>
        </w:rPr>
        <w:t xml:space="preserve">e‑mailová adresa</w:t>
      </w:r>
      <w:r>
        <w:t xml:space="preserve"> nebo zavolejte na </w:t>
      </w:r>
      <w:r>
        <w:rPr>
          <w:highlight w:val="yellow"/>
          <w:highlightCs w:val="yellow"/>
        </w:rPr>
        <w:t xml:space="preserve">telefonní číslo</w:t>
      </w:r>
      <w:r>
        <w:t xml:space="preserve">.</w:t>
      </w:r>
    </w:p>
    <w:p>
      <w:pPr>
        <w:pStyle w:val="Heading1"/>
        <w:spacing w:after="120" w:before="320"/>
      </w:pPr>
      <w:r>
        <w:t xml:space="preserve">Jak jsme přístupnost posuzovali</w:t>
      </w:r>
    </w:p>
    <w:p>
      <w:pPr>
        <w:spacing w:after="140"/>
      </w:pPr>
      <w:r>
        <w:t xml:space="preserve">Posouzení proběhlo dne </w:t>
      </w:r>
      <w:r>
        <w:rPr>
          <w:highlight w:val="yellow"/>
          <w:highlightCs w:val="yellow"/>
        </w:rPr>
        <w:t xml:space="preserve">datum</w:t>
      </w:r>
      <w:r>
        <w:t xml:space="preserve"> kombinací automatických a ručních testů: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automatická kontrola nástroji </w:t>
      </w:r>
      <w:r>
        <w:rPr>
          <w:highlight w:val="yellow"/>
          <w:highlightCs w:val="yellow"/>
        </w:rPr>
        <w:t xml:space="preserve">použité nástroje, například WAVE, axe DevTools, Lighthouse</w:t>
      </w:r>
      <w:r>
        <w:t xml:space="preserve">,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ruční průchod nákupního toku pouze klávesnicí,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kontrola čtečkou obrazovky </w:t>
      </w:r>
      <w:r>
        <w:rPr>
          <w:highlight w:val="yellow"/>
          <w:highlightCs w:val="yellow"/>
        </w:rPr>
        <w:t xml:space="preserve">použitá čtečka, například NVDA nebo VoiceOver</w:t>
      </w:r>
      <w:r>
        <w:t xml:space="preserve">,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kontrola při zvětšení na 200 % a na šířce 320 px,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měření barevného kontrastu.</w:t>
      </w:r>
    </w:p>
    <w:p>
      <w:pPr>
        <w:spacing w:after="140"/>
      </w:pPr>
      <w:r>
        <w:t xml:space="preserve">Posouzení zpracoval </w:t>
      </w:r>
      <w:r>
        <w:rPr>
          <w:highlight w:val="yellow"/>
          <w:highlightCs w:val="yellow"/>
        </w:rPr>
        <w:t xml:space="preserve">kdo posouzení provedl</w:t>
      </w:r>
      <w:r>
        <w:t xml:space="preserve">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Prohlášení o přístupnosti</dc:title>
  <dc:creator>PragueBest s.r.o.</dc:creator>
  <cp:lastModifiedBy>Un-named</cp:lastModifiedBy>
  <cp:revision>1</cp:revision>
  <dcterms:created xsi:type="dcterms:W3CDTF">2026-09-22T09:46:37.820Z</dcterms:created>
  <dcterms:modified xsi:type="dcterms:W3CDTF">2026-09-22T09:46:37.822Z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